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063A2" w14:textId="77777777" w:rsidR="003D76C9" w:rsidRPr="003D76C9" w:rsidRDefault="003D76C9" w:rsidP="003D76C9">
      <w:pPr>
        <w:jc w:val="both"/>
        <w:rPr>
          <w:rFonts w:cstheme="minorHAnsi"/>
          <w:b/>
        </w:rPr>
      </w:pPr>
      <w:r w:rsidRPr="003D76C9">
        <w:rPr>
          <w:rFonts w:cstheme="minorHAnsi"/>
          <w:b/>
        </w:rPr>
        <w:t>NGO UACRR under new attack</w:t>
      </w:r>
    </w:p>
    <w:p w14:paraId="292B0F74" w14:textId="02FF1FCF" w:rsidR="003D76C9" w:rsidRPr="003D76C9" w:rsidRDefault="00BB65F5" w:rsidP="003D76C9">
      <w:pPr>
        <w:jc w:val="both"/>
        <w:rPr>
          <w:rFonts w:cstheme="minorHAnsi"/>
        </w:rPr>
      </w:pPr>
      <w:r>
        <w:rPr>
          <w:rFonts w:cstheme="minorHAnsi"/>
        </w:rPr>
        <w:t xml:space="preserve">On </w:t>
      </w:r>
      <w:r w:rsidR="003D76C9" w:rsidRPr="003D76C9">
        <w:rPr>
          <w:rFonts w:cstheme="minorHAnsi"/>
        </w:rPr>
        <w:t xml:space="preserve">January 28, 2021 the International Intellectual Property Alliance (IIPA) whose members are 5 associations, among which there are, in particular, associations of publishers and recording studios published its comments. </w:t>
      </w:r>
    </w:p>
    <w:p w14:paraId="73FC9833" w14:textId="77777777" w:rsidR="003D76C9" w:rsidRPr="003D76C9" w:rsidRDefault="003D76C9" w:rsidP="003D76C9">
      <w:pPr>
        <w:jc w:val="both"/>
        <w:rPr>
          <w:rFonts w:cstheme="minorHAnsi"/>
        </w:rPr>
      </w:pPr>
      <w:r w:rsidRPr="003D76C9">
        <w:rPr>
          <w:rFonts w:cstheme="minorHAnsi"/>
        </w:rPr>
        <w:t>They were submitted to the United States Trade Representative within the framework of preparing the Special 301 Report.</w:t>
      </w:r>
    </w:p>
    <w:p w14:paraId="3C67CC2C" w14:textId="77777777" w:rsidR="003D76C9" w:rsidRPr="003D76C9" w:rsidRDefault="003D76C9" w:rsidP="003D76C9">
      <w:pPr>
        <w:jc w:val="both"/>
        <w:rPr>
          <w:rFonts w:cstheme="minorHAnsi"/>
        </w:rPr>
      </w:pPr>
      <w:r w:rsidRPr="003D76C9">
        <w:rPr>
          <w:rFonts w:cstheme="minorHAnsi"/>
        </w:rPr>
        <w:t>The comments, in particular, state the following:</w:t>
      </w:r>
    </w:p>
    <w:p w14:paraId="75108055" w14:textId="77777777" w:rsidR="003D76C9" w:rsidRPr="003D76C9" w:rsidRDefault="003D76C9" w:rsidP="003D76C9">
      <w:pPr>
        <w:jc w:val="both"/>
        <w:rPr>
          <w:rFonts w:cstheme="minorHAnsi"/>
        </w:rPr>
      </w:pPr>
      <w:r w:rsidRPr="003D76C9">
        <w:rPr>
          <w:rFonts w:cstheme="minorHAnsi"/>
        </w:rPr>
        <w:t>"One disappointment in 2020 was the decision to allow non-accredited CMOs— including UACRR (for musical compositions)—to continue operations. UACRR, for example, has paid no monies to American rights holders".</w:t>
      </w:r>
    </w:p>
    <w:p w14:paraId="1518409B" w14:textId="790ABD22" w:rsidR="003D76C9" w:rsidRPr="003D76C9" w:rsidRDefault="003D76C9" w:rsidP="003D76C9">
      <w:pPr>
        <w:jc w:val="both"/>
        <w:rPr>
          <w:rFonts w:cstheme="minorHAnsi"/>
        </w:rPr>
      </w:pPr>
      <w:r w:rsidRPr="003D76C9">
        <w:rPr>
          <w:rFonts w:cstheme="minorHAnsi"/>
        </w:rPr>
        <w:t xml:space="preserve">The misinformation could be included in the IIPA report </w:t>
      </w:r>
      <w:r w:rsidR="00C151D5">
        <w:rPr>
          <w:rFonts w:cstheme="minorHAnsi"/>
        </w:rPr>
        <w:t>only</w:t>
      </w:r>
      <w:r w:rsidRPr="003D76C9">
        <w:rPr>
          <w:rFonts w:cstheme="minorHAnsi"/>
        </w:rPr>
        <w:t xml:space="preserve"> under initiative of certain Ukrainian publishers. </w:t>
      </w:r>
    </w:p>
    <w:p w14:paraId="5E733A5F" w14:textId="77777777" w:rsidR="003D76C9" w:rsidRPr="003D76C9" w:rsidRDefault="003D76C9" w:rsidP="003D76C9">
      <w:pPr>
        <w:jc w:val="both"/>
        <w:rPr>
          <w:rFonts w:cstheme="minorHAnsi"/>
        </w:rPr>
      </w:pPr>
      <w:r w:rsidRPr="003D76C9">
        <w:rPr>
          <w:rFonts w:cstheme="minorHAnsi"/>
        </w:rPr>
        <w:t>We are sure that it was initiated in order to mislead not only Ukrainian authors, but also the world community and to keep the biggest authors’ society from getting accreditation.</w:t>
      </w:r>
    </w:p>
    <w:p w14:paraId="059333F8" w14:textId="4FEB1A64" w:rsidR="003D76C9" w:rsidRPr="003D76C9" w:rsidRDefault="003D76C9" w:rsidP="003D76C9">
      <w:pPr>
        <w:jc w:val="both"/>
        <w:rPr>
          <w:rFonts w:cstheme="minorHAnsi"/>
        </w:rPr>
      </w:pPr>
      <w:r w:rsidRPr="003D76C9">
        <w:rPr>
          <w:rFonts w:cstheme="minorHAnsi"/>
        </w:rPr>
        <w:t>We address the IIPA and state th</w:t>
      </w:r>
      <w:r w:rsidR="005861D1">
        <w:rPr>
          <w:rFonts w:cstheme="minorHAnsi"/>
        </w:rPr>
        <w:t>at Ukrainian publishers misled</w:t>
      </w:r>
      <w:r w:rsidRPr="003D76C9">
        <w:rPr>
          <w:rFonts w:cstheme="minorHAnsi"/>
        </w:rPr>
        <w:t xml:space="preserve"> you and provided you with false information, accusing NGO UACRR of non- payment of royalties to foreign authors. </w:t>
      </w:r>
    </w:p>
    <w:p w14:paraId="7B3D6251" w14:textId="359931E4" w:rsidR="003D76C9" w:rsidRPr="003D76C9" w:rsidRDefault="003D76C9" w:rsidP="003D76C9">
      <w:pPr>
        <w:jc w:val="both"/>
        <w:rPr>
          <w:rFonts w:cstheme="minorHAnsi"/>
        </w:rPr>
      </w:pPr>
      <w:r w:rsidRPr="003D76C9">
        <w:rPr>
          <w:rFonts w:cstheme="minorHAnsi"/>
        </w:rPr>
        <w:t xml:space="preserve">Finally, the absence of any letters of claim and lawsuits from Ukrainian publishers makes it clear that all allegations of missing payments are </w:t>
      </w:r>
      <w:r w:rsidR="00C151D5" w:rsidRPr="00C151D5">
        <w:rPr>
          <w:rFonts w:cstheme="minorHAnsi"/>
        </w:rPr>
        <w:t>groundless</w:t>
      </w:r>
      <w:r w:rsidRPr="003D76C9">
        <w:rPr>
          <w:rFonts w:cstheme="minorHAnsi"/>
        </w:rPr>
        <w:t>. The purpose is to mani</w:t>
      </w:r>
      <w:r w:rsidR="005861D1">
        <w:rPr>
          <w:rFonts w:cstheme="minorHAnsi"/>
        </w:rPr>
        <w:t xml:space="preserve">pulate the IIPA’s and </w:t>
      </w:r>
      <w:r w:rsidR="00C151D5" w:rsidRPr="00C151D5">
        <w:rPr>
          <w:rFonts w:cstheme="minorHAnsi"/>
        </w:rPr>
        <w:t>the Ministry of Economy officials’</w:t>
      </w:r>
      <w:r w:rsidRPr="00C151D5">
        <w:rPr>
          <w:rFonts w:cstheme="minorHAnsi"/>
        </w:rPr>
        <w:t xml:space="preserve"> </w:t>
      </w:r>
      <w:r w:rsidRPr="003D76C9">
        <w:rPr>
          <w:rFonts w:cstheme="minorHAnsi"/>
        </w:rPr>
        <w:t xml:space="preserve">opinion to gain control over royalties and legitimize the unlawfully conducted accreditation. </w:t>
      </w:r>
    </w:p>
    <w:p w14:paraId="7CF1CA96" w14:textId="684EE34C" w:rsidR="003D76C9" w:rsidRPr="003D76C9" w:rsidRDefault="003D76C9" w:rsidP="003D76C9">
      <w:pPr>
        <w:jc w:val="both"/>
        <w:rPr>
          <w:rFonts w:cstheme="minorHAnsi"/>
        </w:rPr>
      </w:pPr>
      <w:r w:rsidRPr="003D76C9">
        <w:rPr>
          <w:rFonts w:cstheme="minorHAnsi"/>
        </w:rPr>
        <w:t>We urge our opponents to refrain from any further manipulation, because such actions discredit n</w:t>
      </w:r>
      <w:r w:rsidR="005861D1">
        <w:rPr>
          <w:rFonts w:cstheme="minorHAnsi"/>
        </w:rPr>
        <w:t>ot NGO UACRR, but, above all, those who initiate them</w:t>
      </w:r>
      <w:r w:rsidRPr="003D76C9">
        <w:rPr>
          <w:rFonts w:cstheme="minorHAnsi"/>
        </w:rPr>
        <w:t>.</w:t>
      </w:r>
    </w:p>
    <w:p w14:paraId="0C44E9E7" w14:textId="2034B477" w:rsidR="00C151D5" w:rsidRDefault="00C151D5" w:rsidP="003D76C9">
      <w:pPr>
        <w:jc w:val="both"/>
        <w:rPr>
          <w:rFonts w:cstheme="minorHAnsi"/>
        </w:rPr>
      </w:pPr>
      <w:r w:rsidRPr="00C151D5">
        <w:rPr>
          <w:rFonts w:cstheme="minorHAnsi"/>
        </w:rPr>
        <w:t xml:space="preserve">As of today, NGO UACRR has already transferred almost UAH 3 </w:t>
      </w:r>
      <w:r w:rsidR="000D57EC">
        <w:rPr>
          <w:rFonts w:cstheme="minorHAnsi"/>
        </w:rPr>
        <w:t>million</w:t>
      </w:r>
      <w:r w:rsidRPr="00C151D5">
        <w:rPr>
          <w:rFonts w:cstheme="minorHAnsi"/>
        </w:rPr>
        <w:t xml:space="preserve"> to American authors under cooperation with similar American </w:t>
      </w:r>
      <w:r>
        <w:rPr>
          <w:rFonts w:cstheme="minorHAnsi"/>
        </w:rPr>
        <w:t>CMOs</w:t>
      </w:r>
      <w:r w:rsidRPr="00C151D5">
        <w:rPr>
          <w:rFonts w:cstheme="minorHAnsi"/>
        </w:rPr>
        <w:t xml:space="preserve"> on the basis of reciprocal representation agreements. Another part of payments is under preparation until the matter of avoidance of double taxation is resolved.</w:t>
      </w:r>
    </w:p>
    <w:p w14:paraId="0E56DC72" w14:textId="1FD2CD7A" w:rsidR="003D76C9" w:rsidRPr="003D76C9" w:rsidRDefault="003D76C9" w:rsidP="003D76C9">
      <w:pPr>
        <w:jc w:val="both"/>
        <w:rPr>
          <w:rFonts w:cstheme="minorHAnsi"/>
        </w:rPr>
      </w:pPr>
      <w:r w:rsidRPr="003D76C9">
        <w:rPr>
          <w:rFonts w:cstheme="minorHAnsi"/>
        </w:rPr>
        <w:t xml:space="preserve">NGO UACRR is the only CMO in </w:t>
      </w:r>
      <w:r w:rsidR="005861D1" w:rsidRPr="003D76C9">
        <w:rPr>
          <w:rFonts w:cstheme="minorHAnsi"/>
        </w:rPr>
        <w:t>Ukraine that</w:t>
      </w:r>
      <w:r w:rsidRPr="003D76C9">
        <w:rPr>
          <w:rFonts w:cstheme="minorHAnsi"/>
        </w:rPr>
        <w:t xml:space="preserve"> has such agreements with American CMOs like ASCAP, BMI, SESAC, </w:t>
      </w:r>
      <w:proofErr w:type="gramStart"/>
      <w:r w:rsidRPr="003D76C9">
        <w:rPr>
          <w:rFonts w:cstheme="minorHAnsi"/>
        </w:rPr>
        <w:t>HFA</w:t>
      </w:r>
      <w:proofErr w:type="gramEnd"/>
      <w:r w:rsidRPr="003D76C9">
        <w:rPr>
          <w:rFonts w:cstheme="minorHAnsi"/>
        </w:rPr>
        <w:t xml:space="preserve">. </w:t>
      </w:r>
    </w:p>
    <w:p w14:paraId="3553CAB2" w14:textId="5DE9CACD" w:rsidR="003D76C9" w:rsidRPr="003D76C9" w:rsidRDefault="003D76C9" w:rsidP="003D76C9">
      <w:pPr>
        <w:jc w:val="both"/>
        <w:rPr>
          <w:rFonts w:cstheme="minorHAnsi"/>
        </w:rPr>
      </w:pPr>
      <w:r w:rsidRPr="003D76C9">
        <w:rPr>
          <w:rFonts w:cstheme="minorHAnsi"/>
        </w:rPr>
        <w:t>Moreover, according to the international standards NGO UACRR pays the publisher’s share to the sub-publishers</w:t>
      </w:r>
      <w:r w:rsidR="005861D1">
        <w:rPr>
          <w:rFonts w:cstheme="minorHAnsi"/>
        </w:rPr>
        <w:t xml:space="preserve"> in Ukraine</w:t>
      </w:r>
      <w:bookmarkStart w:id="0" w:name="_GoBack"/>
      <w:bookmarkEnd w:id="0"/>
      <w:r w:rsidRPr="003D76C9">
        <w:rPr>
          <w:rFonts w:cstheme="minorHAnsi"/>
        </w:rPr>
        <w:t xml:space="preserve">. </w:t>
      </w:r>
    </w:p>
    <w:p w14:paraId="6A93DADD" w14:textId="77777777" w:rsidR="003D76C9" w:rsidRPr="003D76C9" w:rsidRDefault="003D76C9" w:rsidP="003D76C9">
      <w:pPr>
        <w:jc w:val="both"/>
        <w:rPr>
          <w:rFonts w:cstheme="minorHAnsi"/>
        </w:rPr>
      </w:pPr>
      <w:r w:rsidRPr="003D76C9">
        <w:rPr>
          <w:rFonts w:cstheme="minorHAnsi"/>
        </w:rPr>
        <w:t>These are Ukrainian companies authorized on behalf of such publishers as Universal Music Publishing Group, Sony/</w:t>
      </w:r>
      <w:proofErr w:type="spellStart"/>
      <w:r w:rsidRPr="003D76C9">
        <w:rPr>
          <w:rFonts w:cstheme="minorHAnsi"/>
        </w:rPr>
        <w:t>Atv</w:t>
      </w:r>
      <w:proofErr w:type="spellEnd"/>
      <w:r w:rsidRPr="003D76C9">
        <w:rPr>
          <w:rFonts w:cstheme="minorHAnsi"/>
        </w:rPr>
        <w:t>, Warner Chappell in particular, to receive the share form the royalties collected by the authorized CMO for</w:t>
      </w:r>
      <w:r>
        <w:rPr>
          <w:rFonts w:cstheme="minorHAnsi"/>
        </w:rPr>
        <w:t xml:space="preserve"> using relevant musical works. </w:t>
      </w:r>
    </w:p>
    <w:p w14:paraId="45404613" w14:textId="0AE18A26" w:rsidR="003D76C9" w:rsidRPr="003D76C9" w:rsidRDefault="003D76C9" w:rsidP="003D76C9">
      <w:pPr>
        <w:jc w:val="both"/>
        <w:rPr>
          <w:rFonts w:cstheme="minorHAnsi"/>
        </w:rPr>
      </w:pPr>
      <w:r>
        <w:rPr>
          <w:rFonts w:cstheme="minorHAnsi"/>
        </w:rPr>
        <w:t>NGO UACRR has paid</w:t>
      </w:r>
      <w:r w:rsidR="00C151D5">
        <w:rPr>
          <w:rFonts w:cstheme="minorHAnsi"/>
        </w:rPr>
        <w:t xml:space="preserve"> UAH 1,8</w:t>
      </w:r>
      <w:r w:rsidRPr="003D76C9">
        <w:rPr>
          <w:rFonts w:cstheme="minorHAnsi"/>
        </w:rPr>
        <w:t xml:space="preserve"> </w:t>
      </w:r>
      <w:proofErr w:type="spellStart"/>
      <w:r w:rsidRPr="003D76C9">
        <w:rPr>
          <w:rFonts w:cstheme="minorHAnsi"/>
        </w:rPr>
        <w:t>mln</w:t>
      </w:r>
      <w:proofErr w:type="spellEnd"/>
      <w:r w:rsidRPr="003D76C9">
        <w:rPr>
          <w:rFonts w:cstheme="minorHAnsi"/>
        </w:rPr>
        <w:t xml:space="preserve"> in total to the respective Ukrainian companies. These very companies shall transfer the remuneration received from NGO UACRR to the final beneficiaries.</w:t>
      </w:r>
    </w:p>
    <w:p w14:paraId="14153AE2" w14:textId="77777777" w:rsidR="00C151D5" w:rsidRDefault="00C151D5" w:rsidP="003D76C9">
      <w:pPr>
        <w:jc w:val="both"/>
        <w:rPr>
          <w:rFonts w:cstheme="minorHAnsi"/>
        </w:rPr>
      </w:pPr>
      <w:r w:rsidRPr="00C151D5">
        <w:rPr>
          <w:rFonts w:cstheme="minorHAnsi"/>
        </w:rPr>
        <w:lastRenderedPageBreak/>
        <w:t xml:space="preserve">It should be emphasized that the activity of NGO UACRR was restricted in certain spheres of collective management during 9 months by the note in the register of CMO, which is not foreseen by applicable legislation. </w:t>
      </w:r>
    </w:p>
    <w:p w14:paraId="1B88F102" w14:textId="77777777" w:rsidR="00C151D5" w:rsidRDefault="00C151D5" w:rsidP="003D76C9">
      <w:pPr>
        <w:jc w:val="both"/>
        <w:rPr>
          <w:rFonts w:cstheme="minorHAnsi"/>
        </w:rPr>
      </w:pPr>
      <w:r w:rsidRPr="00C151D5">
        <w:rPr>
          <w:rFonts w:cstheme="minorHAnsi"/>
        </w:rPr>
        <w:t>The mentioned circumstance had a negative impact on the NGO UACRR’s activity. That is why the international authors’ community supported the unblocking of the operation of the largest CMO of Ukraine, which manages the rights over 4 million authors worldwide, in particular in letter to the President of Ukraine.</w:t>
      </w:r>
    </w:p>
    <w:p w14:paraId="57E7E9DB" w14:textId="0D80A6BA" w:rsidR="003D76C9" w:rsidRPr="00F649C6" w:rsidRDefault="003D76C9" w:rsidP="003D76C9">
      <w:pPr>
        <w:jc w:val="both"/>
        <w:rPr>
          <w:rFonts w:cstheme="minorHAnsi"/>
        </w:rPr>
      </w:pPr>
      <w:r w:rsidRPr="00F649C6">
        <w:rPr>
          <w:rFonts w:cstheme="minorHAnsi"/>
        </w:rPr>
        <w:t>With a view to protect our business reputation, in order to inform the public and to stop manipulation we publish information on the royalties’</w:t>
      </w:r>
      <w:r>
        <w:rPr>
          <w:rFonts w:cstheme="minorHAnsi"/>
        </w:rPr>
        <w:t xml:space="preserve"> payments made by NGO UACRR to American </w:t>
      </w:r>
      <w:proofErr w:type="spellStart"/>
      <w:r>
        <w:rPr>
          <w:rFonts w:cstheme="minorHAnsi"/>
        </w:rPr>
        <w:t>right</w:t>
      </w:r>
      <w:r w:rsidRPr="00F649C6">
        <w:rPr>
          <w:rFonts w:cstheme="minorHAnsi"/>
        </w:rPr>
        <w:t>holders</w:t>
      </w:r>
      <w:proofErr w:type="spellEnd"/>
      <w:r w:rsidRPr="00F649C6">
        <w:rPr>
          <w:rFonts w:cstheme="minorHAnsi"/>
        </w:rPr>
        <w:t xml:space="preserve"> fr</w:t>
      </w:r>
      <w:r>
        <w:rPr>
          <w:rFonts w:cstheme="minorHAnsi"/>
        </w:rPr>
        <w:t xml:space="preserve">om the second half of 2018 to </w:t>
      </w:r>
      <w:r w:rsidRPr="00F649C6">
        <w:rPr>
          <w:rFonts w:cstheme="minorHAnsi"/>
        </w:rPr>
        <w:t xml:space="preserve">2020.  </w:t>
      </w:r>
    </w:p>
    <w:p w14:paraId="77035F75" w14:textId="77777777" w:rsidR="003D76C9" w:rsidRPr="00F649C6" w:rsidRDefault="003D76C9" w:rsidP="003D76C9">
      <w:pPr>
        <w:jc w:val="both"/>
        <w:rPr>
          <w:rFonts w:cstheme="minorHAnsi"/>
          <w:lang w:val="uk-UA"/>
        </w:rPr>
      </w:pPr>
      <w:r w:rsidRPr="00F649C6">
        <w:rPr>
          <w:rFonts w:cstheme="minorHAnsi"/>
        </w:rPr>
        <w:t xml:space="preserve">2018, page 24 of the Report </w:t>
      </w:r>
      <w:hyperlink r:id="rId4" w:history="1">
        <w:r w:rsidRPr="00F649C6">
          <w:rPr>
            <w:rStyle w:val="aa"/>
            <w:rFonts w:cstheme="minorHAnsi"/>
            <w:lang w:val="uk-UA"/>
          </w:rPr>
          <w:t>http://uacrr.org.ua/assets/storage/149/zvit-pro-diyalnist-organizacii-kolektivnogo-upravlinnya-go-uaasp-2018-i-auditorskij-zvit-go-uaasp-2018(2).pdf</w:t>
        </w:r>
      </w:hyperlink>
      <w:r w:rsidRPr="00F649C6">
        <w:rPr>
          <w:rFonts w:cstheme="minorHAnsi"/>
          <w:lang w:val="uk-UA"/>
        </w:rPr>
        <w:t xml:space="preserve"> :</w:t>
      </w:r>
    </w:p>
    <w:tbl>
      <w:tblPr>
        <w:tblStyle w:val="ab"/>
        <w:tblW w:w="0" w:type="auto"/>
        <w:tblLook w:val="04A0" w:firstRow="1" w:lastRow="0" w:firstColumn="1" w:lastColumn="0" w:noHBand="0" w:noVBand="1"/>
      </w:tblPr>
      <w:tblGrid>
        <w:gridCol w:w="1893"/>
        <w:gridCol w:w="1911"/>
        <w:gridCol w:w="1934"/>
        <w:gridCol w:w="1932"/>
        <w:gridCol w:w="1906"/>
      </w:tblGrid>
      <w:tr w:rsidR="003D76C9" w:rsidRPr="00F649C6" w14:paraId="3362789F" w14:textId="77777777" w:rsidTr="0087686C">
        <w:tc>
          <w:tcPr>
            <w:tcW w:w="1954" w:type="dxa"/>
          </w:tcPr>
          <w:p w14:paraId="5771F0BB" w14:textId="77777777" w:rsidR="003D76C9" w:rsidRPr="00F649C6" w:rsidRDefault="003D76C9" w:rsidP="0087686C">
            <w:pPr>
              <w:rPr>
                <w:rFonts w:cstheme="minorHAnsi"/>
              </w:rPr>
            </w:pPr>
            <w:r w:rsidRPr="00F649C6">
              <w:rPr>
                <w:rFonts w:cstheme="minorHAnsi"/>
              </w:rPr>
              <w:t>3.</w:t>
            </w:r>
          </w:p>
        </w:tc>
        <w:tc>
          <w:tcPr>
            <w:tcW w:w="1954" w:type="dxa"/>
          </w:tcPr>
          <w:p w14:paraId="492D1F0F" w14:textId="77777777" w:rsidR="003D76C9" w:rsidRPr="00F649C6" w:rsidRDefault="003D76C9" w:rsidP="0087686C">
            <w:pPr>
              <w:rPr>
                <w:rFonts w:cstheme="minorHAnsi"/>
              </w:rPr>
            </w:pPr>
            <w:r>
              <w:rPr>
                <w:rFonts w:cstheme="minorHAnsi"/>
              </w:rPr>
              <w:t>1 126</w:t>
            </w:r>
            <w:r w:rsidRPr="00F649C6">
              <w:rPr>
                <w:rFonts w:cstheme="minorHAnsi"/>
              </w:rPr>
              <w:t xml:space="preserve"> 850,28</w:t>
            </w:r>
          </w:p>
        </w:tc>
        <w:tc>
          <w:tcPr>
            <w:tcW w:w="1954" w:type="dxa"/>
          </w:tcPr>
          <w:p w14:paraId="630D5638" w14:textId="77777777" w:rsidR="003D76C9" w:rsidRPr="00F649C6" w:rsidRDefault="003D76C9" w:rsidP="0087686C">
            <w:pPr>
              <w:rPr>
                <w:rFonts w:cstheme="minorHAnsi"/>
              </w:rPr>
            </w:pPr>
            <w:r w:rsidRPr="00F649C6">
              <w:rPr>
                <w:rFonts w:cstheme="minorHAnsi"/>
              </w:rPr>
              <w:t xml:space="preserve">Public performance, Broadcast (proprietary </w:t>
            </w:r>
            <w:r w:rsidRPr="003D76C9">
              <w:rPr>
                <w:rFonts w:cstheme="minorHAnsi"/>
              </w:rPr>
              <w:t>copyright</w:t>
            </w:r>
            <w:r w:rsidRPr="00F649C6">
              <w:rPr>
                <w:rFonts w:cstheme="minorHAnsi"/>
              </w:rPr>
              <w:t>)</w:t>
            </w:r>
          </w:p>
        </w:tc>
        <w:tc>
          <w:tcPr>
            <w:tcW w:w="1954" w:type="dxa"/>
          </w:tcPr>
          <w:p w14:paraId="11B17F08" w14:textId="77777777" w:rsidR="003D76C9" w:rsidRPr="00F649C6" w:rsidRDefault="003D76C9" w:rsidP="0087686C">
            <w:pPr>
              <w:rPr>
                <w:rFonts w:cstheme="minorHAnsi"/>
              </w:rPr>
            </w:pPr>
            <w:r>
              <w:rPr>
                <w:rFonts w:cstheme="minorHAnsi"/>
              </w:rPr>
              <w:t>Public performance and</w:t>
            </w:r>
            <w:r w:rsidRPr="00F649C6">
              <w:rPr>
                <w:rFonts w:cstheme="minorHAnsi"/>
              </w:rPr>
              <w:t xml:space="preserve"> Broadcast during guest tours</w:t>
            </w:r>
          </w:p>
        </w:tc>
        <w:tc>
          <w:tcPr>
            <w:tcW w:w="1954" w:type="dxa"/>
          </w:tcPr>
          <w:p w14:paraId="616323D4" w14:textId="77777777" w:rsidR="003D76C9" w:rsidRPr="00F649C6" w:rsidRDefault="003D76C9" w:rsidP="0087686C">
            <w:pPr>
              <w:rPr>
                <w:rFonts w:cstheme="minorHAnsi"/>
              </w:rPr>
            </w:pPr>
            <w:r w:rsidRPr="00F649C6">
              <w:rPr>
                <w:rFonts w:cstheme="minorHAnsi"/>
              </w:rPr>
              <w:t>BMI (USA)</w:t>
            </w:r>
          </w:p>
        </w:tc>
      </w:tr>
    </w:tbl>
    <w:p w14:paraId="63BA4839" w14:textId="77777777" w:rsidR="003D76C9" w:rsidRPr="00F649C6" w:rsidRDefault="003D76C9" w:rsidP="003D76C9">
      <w:pPr>
        <w:rPr>
          <w:rFonts w:cstheme="minorHAnsi"/>
          <w:lang w:val="uk-UA"/>
        </w:rPr>
      </w:pPr>
    </w:p>
    <w:p w14:paraId="7C719216" w14:textId="77777777" w:rsidR="003D76C9" w:rsidRPr="00F649C6" w:rsidRDefault="003D76C9" w:rsidP="003D76C9">
      <w:pPr>
        <w:rPr>
          <w:rFonts w:cstheme="minorHAnsi"/>
          <w:lang w:val="uk-UA"/>
        </w:rPr>
      </w:pPr>
      <w:r w:rsidRPr="00F649C6">
        <w:rPr>
          <w:rFonts w:cstheme="minorHAnsi"/>
        </w:rPr>
        <w:t xml:space="preserve">2019, page 42 of the Report </w:t>
      </w:r>
      <w:hyperlink r:id="rId5" w:history="1">
        <w:r w:rsidRPr="00F649C6">
          <w:rPr>
            <w:rStyle w:val="aa"/>
            <w:rFonts w:cstheme="minorHAnsi"/>
            <w:lang w:val="uk-UA"/>
          </w:rPr>
          <w:t>http://uacrr.org.ua/assets/storage/149/zvit-pro-diyalnist-organizacii-kolektivnogo-upravlinnya-go-uaasp-za-2019-rik.pdf</w:t>
        </w:r>
      </w:hyperlink>
      <w:r w:rsidRPr="00F649C6">
        <w:rPr>
          <w:rFonts w:cstheme="minorHAnsi"/>
          <w:lang w:val="uk-UA"/>
        </w:rPr>
        <w:t xml:space="preserve"> :</w:t>
      </w:r>
    </w:p>
    <w:tbl>
      <w:tblPr>
        <w:tblStyle w:val="ab"/>
        <w:tblW w:w="0" w:type="auto"/>
        <w:tblLook w:val="04A0" w:firstRow="1" w:lastRow="0" w:firstColumn="1" w:lastColumn="0" w:noHBand="0" w:noVBand="1"/>
      </w:tblPr>
      <w:tblGrid>
        <w:gridCol w:w="1892"/>
        <w:gridCol w:w="1910"/>
        <w:gridCol w:w="1934"/>
        <w:gridCol w:w="1934"/>
        <w:gridCol w:w="1906"/>
      </w:tblGrid>
      <w:tr w:rsidR="003D76C9" w:rsidRPr="00F649C6" w14:paraId="3DD70D59" w14:textId="77777777" w:rsidTr="0087686C">
        <w:tc>
          <w:tcPr>
            <w:tcW w:w="1954" w:type="dxa"/>
          </w:tcPr>
          <w:p w14:paraId="2BFE5EF6" w14:textId="77777777" w:rsidR="003D76C9" w:rsidRPr="00F649C6" w:rsidRDefault="003D76C9" w:rsidP="0087686C">
            <w:pPr>
              <w:rPr>
                <w:rFonts w:cstheme="minorHAnsi"/>
              </w:rPr>
            </w:pPr>
            <w:r w:rsidRPr="00F649C6">
              <w:rPr>
                <w:rFonts w:cstheme="minorHAnsi"/>
              </w:rPr>
              <w:t>2.</w:t>
            </w:r>
          </w:p>
        </w:tc>
        <w:tc>
          <w:tcPr>
            <w:tcW w:w="1954" w:type="dxa"/>
          </w:tcPr>
          <w:p w14:paraId="588DDEB4" w14:textId="77777777" w:rsidR="003D76C9" w:rsidRPr="00F649C6" w:rsidRDefault="003D76C9" w:rsidP="0087686C">
            <w:pPr>
              <w:rPr>
                <w:rFonts w:cstheme="minorHAnsi"/>
              </w:rPr>
            </w:pPr>
            <w:r w:rsidRPr="00F649C6">
              <w:rPr>
                <w:rFonts w:cstheme="minorHAnsi"/>
              </w:rPr>
              <w:t>1 </w:t>
            </w:r>
            <w:r>
              <w:rPr>
                <w:rFonts w:cstheme="minorHAnsi"/>
              </w:rPr>
              <w:t>2</w:t>
            </w:r>
            <w:r w:rsidRPr="00F649C6">
              <w:rPr>
                <w:rFonts w:cstheme="minorHAnsi"/>
              </w:rPr>
              <w:t>97 360,23</w:t>
            </w:r>
          </w:p>
        </w:tc>
        <w:tc>
          <w:tcPr>
            <w:tcW w:w="1954" w:type="dxa"/>
          </w:tcPr>
          <w:p w14:paraId="55A58957" w14:textId="77777777" w:rsidR="003D76C9" w:rsidRPr="00F649C6" w:rsidRDefault="003D76C9" w:rsidP="0087686C">
            <w:pPr>
              <w:rPr>
                <w:rFonts w:cstheme="minorHAnsi"/>
              </w:rPr>
            </w:pPr>
            <w:r w:rsidRPr="00F649C6">
              <w:rPr>
                <w:rFonts w:cstheme="minorHAnsi"/>
              </w:rPr>
              <w:t xml:space="preserve">Public performance, Broadcast (proprietary </w:t>
            </w:r>
            <w:r>
              <w:rPr>
                <w:rFonts w:cstheme="minorHAnsi"/>
              </w:rPr>
              <w:t>copyright</w:t>
            </w:r>
            <w:r w:rsidRPr="00F649C6">
              <w:rPr>
                <w:rFonts w:cstheme="minorHAnsi"/>
              </w:rPr>
              <w:t>)</w:t>
            </w:r>
          </w:p>
        </w:tc>
        <w:tc>
          <w:tcPr>
            <w:tcW w:w="1954" w:type="dxa"/>
          </w:tcPr>
          <w:p w14:paraId="4A92A24D" w14:textId="77777777" w:rsidR="003D76C9" w:rsidRPr="00F649C6" w:rsidRDefault="003D76C9" w:rsidP="003D76C9">
            <w:pPr>
              <w:rPr>
                <w:rFonts w:cstheme="minorHAnsi"/>
              </w:rPr>
            </w:pPr>
            <w:r w:rsidRPr="00F649C6">
              <w:rPr>
                <w:rFonts w:cstheme="minorHAnsi"/>
              </w:rPr>
              <w:t xml:space="preserve">Public performance, Broadcast of the works by TV and radio </w:t>
            </w:r>
            <w:r>
              <w:rPr>
                <w:rFonts w:cstheme="minorHAnsi"/>
              </w:rPr>
              <w:t>broadcasting companies</w:t>
            </w:r>
            <w:r w:rsidRPr="00F649C6">
              <w:rPr>
                <w:rFonts w:cstheme="minorHAnsi"/>
              </w:rPr>
              <w:t xml:space="preserve">, by </w:t>
            </w:r>
            <w:r>
              <w:rPr>
                <w:rFonts w:cstheme="minorHAnsi"/>
              </w:rPr>
              <w:t>promoters</w:t>
            </w:r>
            <w:r w:rsidRPr="00F649C6">
              <w:rPr>
                <w:rFonts w:cstheme="minorHAnsi"/>
              </w:rPr>
              <w:t xml:space="preserve"> of the guest tours, food and drinks venues, night clubs, hotels</w:t>
            </w:r>
          </w:p>
        </w:tc>
        <w:tc>
          <w:tcPr>
            <w:tcW w:w="1954" w:type="dxa"/>
          </w:tcPr>
          <w:p w14:paraId="766939B0" w14:textId="77777777" w:rsidR="003D76C9" w:rsidRPr="00F649C6" w:rsidRDefault="003D76C9" w:rsidP="0087686C">
            <w:pPr>
              <w:rPr>
                <w:rFonts w:cstheme="minorHAnsi"/>
              </w:rPr>
            </w:pPr>
            <w:r w:rsidRPr="00F649C6">
              <w:rPr>
                <w:rFonts w:cstheme="minorHAnsi"/>
              </w:rPr>
              <w:t>BMI (USA)</w:t>
            </w:r>
          </w:p>
        </w:tc>
      </w:tr>
    </w:tbl>
    <w:p w14:paraId="7E27E545" w14:textId="77777777" w:rsidR="003D76C9" w:rsidRPr="00F649C6" w:rsidRDefault="003D76C9" w:rsidP="003D76C9">
      <w:pPr>
        <w:rPr>
          <w:rFonts w:cstheme="minorHAnsi"/>
          <w:lang w:val="uk-UA"/>
        </w:rPr>
      </w:pPr>
    </w:p>
    <w:p w14:paraId="5B939561" w14:textId="77777777" w:rsidR="003D76C9" w:rsidRPr="00B321AD" w:rsidRDefault="003D76C9" w:rsidP="003D76C9">
      <w:pPr>
        <w:rPr>
          <w:rFonts w:cstheme="minorHAnsi"/>
          <w:b/>
        </w:rPr>
      </w:pPr>
      <w:r w:rsidRPr="00B321AD">
        <w:rPr>
          <w:rFonts w:cstheme="minorHAnsi"/>
          <w:b/>
        </w:rPr>
        <w:t xml:space="preserve">Information </w:t>
      </w:r>
      <w:r>
        <w:rPr>
          <w:rFonts w:cstheme="minorHAnsi"/>
          <w:b/>
        </w:rPr>
        <w:t>on NGO UACRR</w:t>
      </w:r>
      <w:r w:rsidRPr="00B321AD">
        <w:rPr>
          <w:rFonts w:cstheme="minorHAnsi"/>
          <w:b/>
        </w:rPr>
        <w:t>’s payments to American CMO and sub-publishers for 2018-2020, thousand UAH</w:t>
      </w:r>
    </w:p>
    <w:tbl>
      <w:tblPr>
        <w:tblStyle w:val="ab"/>
        <w:tblW w:w="0" w:type="auto"/>
        <w:tblLook w:val="04A0" w:firstRow="1" w:lastRow="0" w:firstColumn="1" w:lastColumn="0" w:noHBand="0" w:noVBand="1"/>
      </w:tblPr>
      <w:tblGrid>
        <w:gridCol w:w="1925"/>
        <w:gridCol w:w="1909"/>
        <w:gridCol w:w="1909"/>
        <w:gridCol w:w="1909"/>
        <w:gridCol w:w="1924"/>
      </w:tblGrid>
      <w:tr w:rsidR="003D76C9" w:rsidRPr="00F649C6" w14:paraId="77C847E6" w14:textId="77777777" w:rsidTr="0087686C">
        <w:tc>
          <w:tcPr>
            <w:tcW w:w="1954" w:type="dxa"/>
          </w:tcPr>
          <w:p w14:paraId="47D69A42" w14:textId="77777777" w:rsidR="003D76C9" w:rsidRPr="003D76C9" w:rsidRDefault="003D76C9" w:rsidP="003D76C9">
            <w:pPr>
              <w:rPr>
                <w:rFonts w:eastAsia="Times New Roman" w:cstheme="minorHAnsi"/>
                <w:b/>
                <w:bCs/>
                <w:lang w:val="uk-UA" w:eastAsia="ru-RU"/>
              </w:rPr>
            </w:pPr>
            <w:r w:rsidRPr="003D76C9">
              <w:rPr>
                <w:rFonts w:eastAsia="Times New Roman" w:cstheme="minorHAnsi"/>
                <w:b/>
                <w:bCs/>
                <w:lang w:val="uk-UA" w:eastAsia="ru-RU"/>
              </w:rPr>
              <w:t>CMO</w:t>
            </w:r>
          </w:p>
        </w:tc>
        <w:tc>
          <w:tcPr>
            <w:tcW w:w="1954" w:type="dxa"/>
          </w:tcPr>
          <w:p w14:paraId="0EE89EA9" w14:textId="77777777" w:rsidR="003D76C9" w:rsidRPr="003D76C9" w:rsidRDefault="003D76C9" w:rsidP="0087686C">
            <w:pPr>
              <w:rPr>
                <w:rFonts w:eastAsia="Times New Roman" w:cstheme="minorHAnsi"/>
                <w:b/>
                <w:bCs/>
                <w:lang w:val="uk-UA" w:eastAsia="ru-RU"/>
              </w:rPr>
            </w:pPr>
            <w:r w:rsidRPr="003D76C9">
              <w:rPr>
                <w:rFonts w:eastAsia="Times New Roman" w:cstheme="minorHAnsi"/>
                <w:b/>
                <w:bCs/>
                <w:lang w:val="uk-UA" w:eastAsia="ru-RU"/>
              </w:rPr>
              <w:t>2018</w:t>
            </w:r>
          </w:p>
        </w:tc>
        <w:tc>
          <w:tcPr>
            <w:tcW w:w="1954" w:type="dxa"/>
          </w:tcPr>
          <w:p w14:paraId="0D1B7437" w14:textId="77777777" w:rsidR="003D76C9" w:rsidRPr="003D76C9" w:rsidRDefault="003D76C9" w:rsidP="0087686C">
            <w:pPr>
              <w:rPr>
                <w:rFonts w:eastAsia="Times New Roman" w:cstheme="minorHAnsi"/>
                <w:b/>
                <w:bCs/>
                <w:lang w:val="uk-UA" w:eastAsia="ru-RU"/>
              </w:rPr>
            </w:pPr>
            <w:r w:rsidRPr="003D76C9">
              <w:rPr>
                <w:rFonts w:eastAsia="Times New Roman" w:cstheme="minorHAnsi"/>
                <w:b/>
                <w:bCs/>
                <w:lang w:val="uk-UA" w:eastAsia="ru-RU"/>
              </w:rPr>
              <w:t>2019</w:t>
            </w:r>
          </w:p>
        </w:tc>
        <w:tc>
          <w:tcPr>
            <w:tcW w:w="1954" w:type="dxa"/>
          </w:tcPr>
          <w:p w14:paraId="71462C02" w14:textId="77777777" w:rsidR="003D76C9" w:rsidRPr="003D76C9" w:rsidRDefault="003D76C9" w:rsidP="0087686C">
            <w:pPr>
              <w:rPr>
                <w:rFonts w:eastAsia="Times New Roman" w:cstheme="minorHAnsi"/>
                <w:b/>
                <w:bCs/>
                <w:lang w:val="uk-UA" w:eastAsia="ru-RU"/>
              </w:rPr>
            </w:pPr>
            <w:r w:rsidRPr="003D76C9">
              <w:rPr>
                <w:rFonts w:eastAsia="Times New Roman" w:cstheme="minorHAnsi"/>
                <w:b/>
                <w:bCs/>
                <w:lang w:val="uk-UA" w:eastAsia="ru-RU"/>
              </w:rPr>
              <w:t>2020</w:t>
            </w:r>
          </w:p>
        </w:tc>
        <w:tc>
          <w:tcPr>
            <w:tcW w:w="1954" w:type="dxa"/>
          </w:tcPr>
          <w:p w14:paraId="2C133440" w14:textId="77777777" w:rsidR="003D76C9" w:rsidRPr="003D76C9" w:rsidRDefault="003D76C9" w:rsidP="0087686C">
            <w:pPr>
              <w:rPr>
                <w:rFonts w:eastAsia="Times New Roman" w:cstheme="minorHAnsi"/>
                <w:b/>
                <w:bCs/>
                <w:lang w:val="uk-UA" w:eastAsia="ru-RU"/>
              </w:rPr>
            </w:pPr>
            <w:proofErr w:type="spellStart"/>
            <w:r w:rsidRPr="003D76C9">
              <w:rPr>
                <w:rFonts w:eastAsia="Times New Roman" w:cstheme="minorHAnsi"/>
                <w:b/>
                <w:bCs/>
                <w:lang w:val="uk-UA" w:eastAsia="ru-RU"/>
              </w:rPr>
              <w:t>Total</w:t>
            </w:r>
            <w:proofErr w:type="spellEnd"/>
            <w:r w:rsidRPr="003D76C9">
              <w:rPr>
                <w:rFonts w:eastAsia="Times New Roman" w:cstheme="minorHAnsi"/>
                <w:b/>
                <w:bCs/>
                <w:lang w:val="uk-UA" w:eastAsia="ru-RU"/>
              </w:rPr>
              <w:t xml:space="preserve"> </w:t>
            </w:r>
            <w:proofErr w:type="spellStart"/>
            <w:r w:rsidRPr="003D76C9">
              <w:rPr>
                <w:rFonts w:eastAsia="Times New Roman" w:cstheme="minorHAnsi"/>
                <w:b/>
                <w:bCs/>
                <w:lang w:val="uk-UA" w:eastAsia="ru-RU"/>
              </w:rPr>
              <w:t>amount</w:t>
            </w:r>
            <w:proofErr w:type="spellEnd"/>
            <w:r w:rsidRPr="003D76C9">
              <w:rPr>
                <w:rFonts w:eastAsia="Times New Roman" w:cstheme="minorHAnsi"/>
                <w:b/>
                <w:bCs/>
                <w:lang w:val="uk-UA" w:eastAsia="ru-RU"/>
              </w:rPr>
              <w:t xml:space="preserve">, </w:t>
            </w:r>
            <w:proofErr w:type="spellStart"/>
            <w:r w:rsidRPr="003D76C9">
              <w:rPr>
                <w:rFonts w:eastAsia="Times New Roman" w:cstheme="minorHAnsi"/>
                <w:b/>
                <w:bCs/>
                <w:lang w:val="uk-UA" w:eastAsia="ru-RU"/>
              </w:rPr>
              <w:t>thousand</w:t>
            </w:r>
            <w:proofErr w:type="spellEnd"/>
            <w:r w:rsidRPr="003D76C9">
              <w:rPr>
                <w:rFonts w:eastAsia="Times New Roman" w:cstheme="minorHAnsi"/>
                <w:b/>
                <w:bCs/>
                <w:lang w:val="uk-UA" w:eastAsia="ru-RU"/>
              </w:rPr>
              <w:t xml:space="preserve"> UAH</w:t>
            </w:r>
          </w:p>
        </w:tc>
      </w:tr>
      <w:tr w:rsidR="003D76C9" w:rsidRPr="00F649C6" w14:paraId="1B769B0C" w14:textId="77777777" w:rsidTr="0087686C">
        <w:tc>
          <w:tcPr>
            <w:tcW w:w="1954" w:type="dxa"/>
          </w:tcPr>
          <w:p w14:paraId="597B3BCA" w14:textId="77777777" w:rsidR="003D76C9" w:rsidRPr="00F649C6" w:rsidRDefault="003D76C9" w:rsidP="0087686C">
            <w:pPr>
              <w:rPr>
                <w:rFonts w:cstheme="minorHAnsi"/>
              </w:rPr>
            </w:pPr>
            <w:r w:rsidRPr="003D76C9">
              <w:rPr>
                <w:rFonts w:eastAsia="Times New Roman" w:cstheme="minorHAnsi"/>
                <w:b/>
                <w:bCs/>
                <w:lang w:val="uk-UA" w:eastAsia="ru-RU"/>
              </w:rPr>
              <w:t>BMI</w:t>
            </w:r>
            <w:r w:rsidRPr="00F649C6">
              <w:rPr>
                <w:rFonts w:cstheme="minorHAnsi"/>
              </w:rPr>
              <w:t xml:space="preserve"> (USA)</w:t>
            </w:r>
          </w:p>
        </w:tc>
        <w:tc>
          <w:tcPr>
            <w:tcW w:w="1954" w:type="dxa"/>
          </w:tcPr>
          <w:p w14:paraId="67B18A53" w14:textId="77777777" w:rsidR="003D76C9" w:rsidRPr="00F649C6" w:rsidRDefault="003D76C9" w:rsidP="0087686C">
            <w:pPr>
              <w:rPr>
                <w:rFonts w:cstheme="minorHAnsi"/>
              </w:rPr>
            </w:pPr>
            <w:r w:rsidRPr="00F649C6">
              <w:rPr>
                <w:rFonts w:cstheme="minorHAnsi"/>
              </w:rPr>
              <w:t>1 127</w:t>
            </w:r>
          </w:p>
        </w:tc>
        <w:tc>
          <w:tcPr>
            <w:tcW w:w="1954" w:type="dxa"/>
          </w:tcPr>
          <w:p w14:paraId="2114791B" w14:textId="77777777" w:rsidR="003D76C9" w:rsidRPr="00F649C6" w:rsidRDefault="003D76C9" w:rsidP="0087686C">
            <w:pPr>
              <w:rPr>
                <w:rFonts w:cstheme="minorHAnsi"/>
              </w:rPr>
            </w:pPr>
            <w:r w:rsidRPr="00F649C6">
              <w:rPr>
                <w:rFonts w:cstheme="minorHAnsi"/>
              </w:rPr>
              <w:t>1 297</w:t>
            </w:r>
          </w:p>
        </w:tc>
        <w:tc>
          <w:tcPr>
            <w:tcW w:w="1954" w:type="dxa"/>
          </w:tcPr>
          <w:p w14:paraId="2976CA51" w14:textId="77777777" w:rsidR="003D76C9" w:rsidRPr="00F649C6" w:rsidRDefault="003D76C9" w:rsidP="0087686C">
            <w:pPr>
              <w:rPr>
                <w:rFonts w:cstheme="minorHAnsi"/>
              </w:rPr>
            </w:pPr>
            <w:r w:rsidRPr="00F649C6">
              <w:rPr>
                <w:rFonts w:cstheme="minorHAnsi"/>
              </w:rPr>
              <w:t>503</w:t>
            </w:r>
          </w:p>
        </w:tc>
        <w:tc>
          <w:tcPr>
            <w:tcW w:w="1954" w:type="dxa"/>
          </w:tcPr>
          <w:p w14:paraId="4D3C402B" w14:textId="77777777" w:rsidR="003D76C9" w:rsidRPr="003D76C9" w:rsidRDefault="003D76C9" w:rsidP="0087686C">
            <w:pPr>
              <w:rPr>
                <w:rFonts w:cstheme="minorHAnsi"/>
                <w:b/>
              </w:rPr>
            </w:pPr>
            <w:r w:rsidRPr="003D76C9">
              <w:rPr>
                <w:rFonts w:cstheme="minorHAnsi"/>
                <w:b/>
              </w:rPr>
              <w:t>2 927</w:t>
            </w:r>
          </w:p>
        </w:tc>
      </w:tr>
      <w:tr w:rsidR="003D76C9" w:rsidRPr="00F649C6" w14:paraId="28E0A6E6" w14:textId="77777777" w:rsidTr="0087686C">
        <w:tc>
          <w:tcPr>
            <w:tcW w:w="1954" w:type="dxa"/>
          </w:tcPr>
          <w:p w14:paraId="3026E4A4" w14:textId="77777777" w:rsidR="003D76C9" w:rsidRPr="00F649C6" w:rsidRDefault="003D76C9" w:rsidP="0087686C">
            <w:pPr>
              <w:rPr>
                <w:rFonts w:cstheme="minorHAnsi"/>
              </w:rPr>
            </w:pPr>
          </w:p>
        </w:tc>
        <w:tc>
          <w:tcPr>
            <w:tcW w:w="1954" w:type="dxa"/>
          </w:tcPr>
          <w:p w14:paraId="5F1E33C7" w14:textId="77777777" w:rsidR="003D76C9" w:rsidRPr="00F649C6" w:rsidRDefault="003D76C9" w:rsidP="0087686C">
            <w:pPr>
              <w:rPr>
                <w:rFonts w:cstheme="minorHAnsi"/>
              </w:rPr>
            </w:pPr>
          </w:p>
        </w:tc>
        <w:tc>
          <w:tcPr>
            <w:tcW w:w="1954" w:type="dxa"/>
          </w:tcPr>
          <w:p w14:paraId="24B54F15" w14:textId="77777777" w:rsidR="003D76C9" w:rsidRPr="00F649C6" w:rsidRDefault="003D76C9" w:rsidP="0087686C">
            <w:pPr>
              <w:rPr>
                <w:rFonts w:cstheme="minorHAnsi"/>
              </w:rPr>
            </w:pPr>
          </w:p>
        </w:tc>
        <w:tc>
          <w:tcPr>
            <w:tcW w:w="1954" w:type="dxa"/>
          </w:tcPr>
          <w:p w14:paraId="5AA7A0C9" w14:textId="77777777" w:rsidR="003D76C9" w:rsidRPr="00F649C6" w:rsidRDefault="003D76C9" w:rsidP="0087686C">
            <w:pPr>
              <w:rPr>
                <w:rFonts w:cstheme="minorHAnsi"/>
              </w:rPr>
            </w:pPr>
          </w:p>
        </w:tc>
        <w:tc>
          <w:tcPr>
            <w:tcW w:w="1954" w:type="dxa"/>
          </w:tcPr>
          <w:p w14:paraId="6BD015C9" w14:textId="77777777" w:rsidR="003D76C9" w:rsidRPr="00F649C6" w:rsidRDefault="003D76C9" w:rsidP="0087686C">
            <w:pPr>
              <w:rPr>
                <w:rFonts w:cstheme="minorHAnsi"/>
              </w:rPr>
            </w:pPr>
          </w:p>
        </w:tc>
      </w:tr>
      <w:tr w:rsidR="003D76C9" w:rsidRPr="003D76C9" w14:paraId="4AC79F74" w14:textId="77777777" w:rsidTr="0087686C">
        <w:tc>
          <w:tcPr>
            <w:tcW w:w="9770" w:type="dxa"/>
            <w:gridSpan w:val="5"/>
          </w:tcPr>
          <w:p w14:paraId="4D6F882A" w14:textId="77777777" w:rsidR="003D76C9" w:rsidRPr="003D76C9" w:rsidRDefault="003D76C9" w:rsidP="0087686C">
            <w:pPr>
              <w:rPr>
                <w:rFonts w:eastAsia="Times New Roman" w:cstheme="minorHAnsi"/>
                <w:b/>
                <w:bCs/>
                <w:lang w:val="uk-UA" w:eastAsia="ru-RU"/>
              </w:rPr>
            </w:pPr>
            <w:r w:rsidRPr="003D76C9">
              <w:rPr>
                <w:rFonts w:eastAsia="Times New Roman" w:cstheme="minorHAnsi"/>
                <w:b/>
                <w:bCs/>
                <w:lang w:val="uk-UA" w:eastAsia="ru-RU"/>
              </w:rPr>
              <w:t>PUBLISHERS</w:t>
            </w:r>
          </w:p>
        </w:tc>
      </w:tr>
      <w:tr w:rsidR="003D76C9" w:rsidRPr="00F649C6" w14:paraId="20CD0588" w14:textId="77777777" w:rsidTr="0087686C">
        <w:tc>
          <w:tcPr>
            <w:tcW w:w="1954" w:type="dxa"/>
          </w:tcPr>
          <w:p w14:paraId="673D0A11" w14:textId="77777777" w:rsidR="003D76C9" w:rsidRPr="00F649C6" w:rsidRDefault="003D76C9" w:rsidP="0087686C">
            <w:pPr>
              <w:rPr>
                <w:rFonts w:cstheme="minorHAnsi"/>
              </w:rPr>
            </w:pPr>
            <w:r w:rsidRPr="00F649C6">
              <w:rPr>
                <w:rFonts w:cstheme="minorHAnsi"/>
              </w:rPr>
              <w:t>Comp Music Publishing</w:t>
            </w:r>
          </w:p>
        </w:tc>
        <w:tc>
          <w:tcPr>
            <w:tcW w:w="1954" w:type="dxa"/>
          </w:tcPr>
          <w:p w14:paraId="2BB821B7" w14:textId="77777777" w:rsidR="003D76C9" w:rsidRPr="00F649C6" w:rsidRDefault="003D76C9" w:rsidP="0087686C">
            <w:pPr>
              <w:rPr>
                <w:rFonts w:cstheme="minorHAnsi"/>
              </w:rPr>
            </w:pPr>
            <w:r w:rsidRPr="00F649C6">
              <w:rPr>
                <w:rFonts w:cstheme="minorHAnsi"/>
              </w:rPr>
              <w:t>915</w:t>
            </w:r>
          </w:p>
        </w:tc>
        <w:tc>
          <w:tcPr>
            <w:tcW w:w="1954" w:type="dxa"/>
          </w:tcPr>
          <w:p w14:paraId="51F246C4" w14:textId="77777777" w:rsidR="003D76C9" w:rsidRPr="00F649C6" w:rsidRDefault="003D76C9" w:rsidP="0087686C">
            <w:pPr>
              <w:rPr>
                <w:rFonts w:cstheme="minorHAnsi"/>
              </w:rPr>
            </w:pPr>
            <w:r w:rsidRPr="00F649C6">
              <w:rPr>
                <w:rFonts w:cstheme="minorHAnsi"/>
              </w:rPr>
              <w:t>126</w:t>
            </w:r>
          </w:p>
        </w:tc>
        <w:tc>
          <w:tcPr>
            <w:tcW w:w="1954" w:type="dxa"/>
          </w:tcPr>
          <w:p w14:paraId="5691AC83" w14:textId="77777777" w:rsidR="003D76C9" w:rsidRPr="00F649C6" w:rsidRDefault="003D76C9" w:rsidP="0087686C">
            <w:pPr>
              <w:rPr>
                <w:rFonts w:cstheme="minorHAnsi"/>
              </w:rPr>
            </w:pPr>
            <w:r w:rsidRPr="00F649C6">
              <w:rPr>
                <w:rFonts w:cstheme="minorHAnsi"/>
              </w:rPr>
              <w:t>110</w:t>
            </w:r>
          </w:p>
        </w:tc>
        <w:tc>
          <w:tcPr>
            <w:tcW w:w="1954" w:type="dxa"/>
          </w:tcPr>
          <w:p w14:paraId="2D93F93B" w14:textId="77777777" w:rsidR="003D76C9" w:rsidRPr="003D76C9" w:rsidRDefault="003D76C9" w:rsidP="0087686C">
            <w:pPr>
              <w:rPr>
                <w:rFonts w:cstheme="minorHAnsi"/>
                <w:b/>
              </w:rPr>
            </w:pPr>
            <w:r w:rsidRPr="003D76C9">
              <w:rPr>
                <w:rFonts w:cstheme="minorHAnsi"/>
                <w:b/>
              </w:rPr>
              <w:t>1 151</w:t>
            </w:r>
          </w:p>
        </w:tc>
      </w:tr>
      <w:tr w:rsidR="003D76C9" w:rsidRPr="00F649C6" w14:paraId="1EEC6154" w14:textId="77777777" w:rsidTr="0087686C">
        <w:tc>
          <w:tcPr>
            <w:tcW w:w="1954" w:type="dxa"/>
          </w:tcPr>
          <w:p w14:paraId="7459F59D" w14:textId="77777777" w:rsidR="003D76C9" w:rsidRPr="00F649C6" w:rsidRDefault="003D76C9" w:rsidP="0087686C">
            <w:pPr>
              <w:rPr>
                <w:rFonts w:cstheme="minorHAnsi"/>
              </w:rPr>
            </w:pPr>
            <w:r w:rsidRPr="00F649C6">
              <w:rPr>
                <w:rFonts w:cstheme="minorHAnsi"/>
              </w:rPr>
              <w:t>Best Music</w:t>
            </w:r>
          </w:p>
        </w:tc>
        <w:tc>
          <w:tcPr>
            <w:tcW w:w="1954" w:type="dxa"/>
          </w:tcPr>
          <w:p w14:paraId="3A30859E" w14:textId="77777777" w:rsidR="003D76C9" w:rsidRPr="00F649C6" w:rsidRDefault="003D76C9" w:rsidP="0087686C">
            <w:pPr>
              <w:rPr>
                <w:rFonts w:cstheme="minorHAnsi"/>
              </w:rPr>
            </w:pPr>
            <w:r w:rsidRPr="00F649C6">
              <w:rPr>
                <w:rFonts w:cstheme="minorHAnsi"/>
              </w:rPr>
              <w:t>0</w:t>
            </w:r>
          </w:p>
        </w:tc>
        <w:tc>
          <w:tcPr>
            <w:tcW w:w="1954" w:type="dxa"/>
          </w:tcPr>
          <w:p w14:paraId="7282C25B" w14:textId="77777777" w:rsidR="003D76C9" w:rsidRPr="00F649C6" w:rsidRDefault="003D76C9" w:rsidP="0087686C">
            <w:pPr>
              <w:rPr>
                <w:rFonts w:cstheme="minorHAnsi"/>
              </w:rPr>
            </w:pPr>
            <w:r w:rsidRPr="00F649C6">
              <w:rPr>
                <w:rFonts w:cstheme="minorHAnsi"/>
              </w:rPr>
              <w:t>0</w:t>
            </w:r>
          </w:p>
        </w:tc>
        <w:tc>
          <w:tcPr>
            <w:tcW w:w="1954" w:type="dxa"/>
          </w:tcPr>
          <w:p w14:paraId="1D671399" w14:textId="77777777" w:rsidR="003D76C9" w:rsidRPr="00F649C6" w:rsidRDefault="003D76C9" w:rsidP="0087686C">
            <w:pPr>
              <w:rPr>
                <w:rFonts w:cstheme="minorHAnsi"/>
              </w:rPr>
            </w:pPr>
            <w:r w:rsidRPr="00F649C6">
              <w:rPr>
                <w:rFonts w:cstheme="minorHAnsi"/>
              </w:rPr>
              <w:t>378</w:t>
            </w:r>
          </w:p>
        </w:tc>
        <w:tc>
          <w:tcPr>
            <w:tcW w:w="1954" w:type="dxa"/>
          </w:tcPr>
          <w:p w14:paraId="166795D9" w14:textId="77777777" w:rsidR="003D76C9" w:rsidRPr="003D76C9" w:rsidRDefault="003D76C9" w:rsidP="0087686C">
            <w:pPr>
              <w:rPr>
                <w:rFonts w:cstheme="minorHAnsi"/>
                <w:b/>
              </w:rPr>
            </w:pPr>
            <w:r w:rsidRPr="003D76C9">
              <w:rPr>
                <w:rFonts w:cstheme="minorHAnsi"/>
                <w:b/>
              </w:rPr>
              <w:t>378</w:t>
            </w:r>
          </w:p>
        </w:tc>
      </w:tr>
      <w:tr w:rsidR="003D76C9" w:rsidRPr="00F649C6" w14:paraId="052F4191" w14:textId="77777777" w:rsidTr="0087686C">
        <w:tc>
          <w:tcPr>
            <w:tcW w:w="1954" w:type="dxa"/>
          </w:tcPr>
          <w:p w14:paraId="6D5E8F88" w14:textId="77777777" w:rsidR="003D76C9" w:rsidRPr="00F649C6" w:rsidRDefault="003D76C9" w:rsidP="0087686C">
            <w:pPr>
              <w:rPr>
                <w:rFonts w:cstheme="minorHAnsi"/>
              </w:rPr>
            </w:pPr>
            <w:proofErr w:type="spellStart"/>
            <w:r>
              <w:rPr>
                <w:rFonts w:cstheme="minorHAnsi"/>
              </w:rPr>
              <w:t>Svitova</w:t>
            </w:r>
            <w:proofErr w:type="spellEnd"/>
            <w:r>
              <w:rPr>
                <w:rFonts w:cstheme="minorHAnsi"/>
              </w:rPr>
              <w:t xml:space="preserve"> </w:t>
            </w:r>
            <w:proofErr w:type="spellStart"/>
            <w:r>
              <w:rPr>
                <w:rFonts w:cstheme="minorHAnsi"/>
              </w:rPr>
              <w:t>Muz</w:t>
            </w:r>
            <w:r w:rsidRPr="00F649C6">
              <w:rPr>
                <w:rFonts w:cstheme="minorHAnsi"/>
              </w:rPr>
              <w:t>yka</w:t>
            </w:r>
            <w:proofErr w:type="spellEnd"/>
          </w:p>
        </w:tc>
        <w:tc>
          <w:tcPr>
            <w:tcW w:w="1954" w:type="dxa"/>
          </w:tcPr>
          <w:p w14:paraId="5FB54133" w14:textId="77777777" w:rsidR="003D76C9" w:rsidRPr="00F649C6" w:rsidRDefault="003D76C9" w:rsidP="0087686C">
            <w:pPr>
              <w:rPr>
                <w:rFonts w:cstheme="minorHAnsi"/>
              </w:rPr>
            </w:pPr>
            <w:r w:rsidRPr="00F649C6">
              <w:rPr>
                <w:rFonts w:cstheme="minorHAnsi"/>
              </w:rPr>
              <w:t>149</w:t>
            </w:r>
          </w:p>
        </w:tc>
        <w:tc>
          <w:tcPr>
            <w:tcW w:w="1954" w:type="dxa"/>
          </w:tcPr>
          <w:p w14:paraId="479337D7" w14:textId="77777777" w:rsidR="003D76C9" w:rsidRPr="00F649C6" w:rsidRDefault="003D76C9" w:rsidP="0087686C">
            <w:pPr>
              <w:rPr>
                <w:rFonts w:cstheme="minorHAnsi"/>
              </w:rPr>
            </w:pPr>
            <w:r w:rsidRPr="00F649C6">
              <w:rPr>
                <w:rFonts w:cstheme="minorHAnsi"/>
              </w:rPr>
              <w:t>0</w:t>
            </w:r>
          </w:p>
        </w:tc>
        <w:tc>
          <w:tcPr>
            <w:tcW w:w="1954" w:type="dxa"/>
          </w:tcPr>
          <w:p w14:paraId="75D205AC" w14:textId="77777777" w:rsidR="003D76C9" w:rsidRPr="00F649C6" w:rsidRDefault="003D76C9" w:rsidP="0087686C">
            <w:pPr>
              <w:rPr>
                <w:rFonts w:cstheme="minorHAnsi"/>
              </w:rPr>
            </w:pPr>
            <w:r w:rsidRPr="00F649C6">
              <w:rPr>
                <w:rFonts w:cstheme="minorHAnsi"/>
              </w:rPr>
              <w:t>113</w:t>
            </w:r>
          </w:p>
        </w:tc>
        <w:tc>
          <w:tcPr>
            <w:tcW w:w="1954" w:type="dxa"/>
          </w:tcPr>
          <w:p w14:paraId="15309E22" w14:textId="77777777" w:rsidR="003D76C9" w:rsidRPr="003D76C9" w:rsidRDefault="003D76C9" w:rsidP="0087686C">
            <w:pPr>
              <w:rPr>
                <w:rFonts w:cstheme="minorHAnsi"/>
                <w:b/>
              </w:rPr>
            </w:pPr>
            <w:r w:rsidRPr="003D76C9">
              <w:rPr>
                <w:rFonts w:cstheme="minorHAnsi"/>
                <w:b/>
              </w:rPr>
              <w:t>262</w:t>
            </w:r>
          </w:p>
        </w:tc>
      </w:tr>
      <w:tr w:rsidR="003D76C9" w:rsidRPr="00F649C6" w14:paraId="6868DDFC" w14:textId="77777777" w:rsidTr="0087686C">
        <w:tc>
          <w:tcPr>
            <w:tcW w:w="1954" w:type="dxa"/>
          </w:tcPr>
          <w:p w14:paraId="00F30889" w14:textId="77777777" w:rsidR="003D76C9" w:rsidRPr="00E05D2C" w:rsidRDefault="003D76C9" w:rsidP="0087686C">
            <w:pPr>
              <w:rPr>
                <w:rFonts w:cstheme="minorHAnsi"/>
                <w:b/>
              </w:rPr>
            </w:pPr>
            <w:r w:rsidRPr="00E05D2C">
              <w:rPr>
                <w:rFonts w:cstheme="minorHAnsi"/>
                <w:b/>
              </w:rPr>
              <w:lastRenderedPageBreak/>
              <w:t>Total publisher, thousand UAH</w:t>
            </w:r>
          </w:p>
        </w:tc>
        <w:tc>
          <w:tcPr>
            <w:tcW w:w="1954" w:type="dxa"/>
          </w:tcPr>
          <w:p w14:paraId="069B0D5F" w14:textId="77777777" w:rsidR="003D76C9" w:rsidRPr="00E05D2C" w:rsidRDefault="003D76C9" w:rsidP="0087686C">
            <w:pPr>
              <w:rPr>
                <w:rFonts w:cstheme="minorHAnsi"/>
                <w:b/>
              </w:rPr>
            </w:pPr>
            <w:r w:rsidRPr="00E05D2C">
              <w:rPr>
                <w:rFonts w:cstheme="minorHAnsi"/>
                <w:b/>
              </w:rPr>
              <w:t>1</w:t>
            </w:r>
            <w:r>
              <w:rPr>
                <w:rFonts w:cstheme="minorHAnsi"/>
                <w:b/>
              </w:rPr>
              <w:t xml:space="preserve"> </w:t>
            </w:r>
            <w:r w:rsidRPr="00E05D2C">
              <w:rPr>
                <w:rFonts w:cstheme="minorHAnsi"/>
                <w:b/>
              </w:rPr>
              <w:t>064</w:t>
            </w:r>
          </w:p>
        </w:tc>
        <w:tc>
          <w:tcPr>
            <w:tcW w:w="1954" w:type="dxa"/>
          </w:tcPr>
          <w:p w14:paraId="055C9F54" w14:textId="77777777" w:rsidR="003D76C9" w:rsidRPr="00E05D2C" w:rsidRDefault="003D76C9" w:rsidP="0087686C">
            <w:pPr>
              <w:rPr>
                <w:rFonts w:cstheme="minorHAnsi"/>
                <w:b/>
              </w:rPr>
            </w:pPr>
            <w:r w:rsidRPr="00E05D2C">
              <w:rPr>
                <w:rFonts w:cstheme="minorHAnsi"/>
                <w:b/>
              </w:rPr>
              <w:t>126</w:t>
            </w:r>
          </w:p>
        </w:tc>
        <w:tc>
          <w:tcPr>
            <w:tcW w:w="1954" w:type="dxa"/>
          </w:tcPr>
          <w:p w14:paraId="4D58FFC3" w14:textId="77777777" w:rsidR="003D76C9" w:rsidRPr="00E05D2C" w:rsidRDefault="003D76C9" w:rsidP="0087686C">
            <w:pPr>
              <w:rPr>
                <w:rFonts w:cstheme="minorHAnsi"/>
                <w:b/>
              </w:rPr>
            </w:pPr>
            <w:r w:rsidRPr="00E05D2C">
              <w:rPr>
                <w:rFonts w:cstheme="minorHAnsi"/>
                <w:b/>
              </w:rPr>
              <w:t>601</w:t>
            </w:r>
          </w:p>
        </w:tc>
        <w:tc>
          <w:tcPr>
            <w:tcW w:w="1954" w:type="dxa"/>
          </w:tcPr>
          <w:p w14:paraId="6A58B6C7" w14:textId="77777777" w:rsidR="003D76C9" w:rsidRPr="00E05D2C" w:rsidRDefault="003D76C9" w:rsidP="0087686C">
            <w:pPr>
              <w:rPr>
                <w:rFonts w:cstheme="minorHAnsi"/>
                <w:b/>
              </w:rPr>
            </w:pPr>
            <w:r w:rsidRPr="00E05D2C">
              <w:rPr>
                <w:rFonts w:cstheme="minorHAnsi"/>
                <w:b/>
              </w:rPr>
              <w:t>1 791</w:t>
            </w:r>
          </w:p>
        </w:tc>
      </w:tr>
    </w:tbl>
    <w:p w14:paraId="1A1909C1" w14:textId="7491F65F" w:rsidR="003D76C9" w:rsidRDefault="003D76C9" w:rsidP="003D76C9">
      <w:pPr>
        <w:rPr>
          <w:rFonts w:cstheme="minorHAnsi"/>
        </w:rPr>
      </w:pPr>
    </w:p>
    <w:p w14:paraId="31CB90FD" w14:textId="77777777" w:rsidR="00C151D5" w:rsidRPr="00C151D5" w:rsidRDefault="00C151D5" w:rsidP="00C151D5">
      <w:pPr>
        <w:rPr>
          <w:rFonts w:cstheme="minorHAnsi"/>
        </w:rPr>
      </w:pPr>
      <w:r w:rsidRPr="00C151D5">
        <w:rPr>
          <w:rFonts w:cstheme="minorHAnsi"/>
        </w:rPr>
        <w:t>The IIPA Report also states the following:</w:t>
      </w:r>
    </w:p>
    <w:p w14:paraId="1CB1E194" w14:textId="445E9492" w:rsidR="00C151D5" w:rsidRPr="00C151D5" w:rsidRDefault="00C151D5" w:rsidP="00C151D5">
      <w:pPr>
        <w:rPr>
          <w:rFonts w:cstheme="minorHAnsi"/>
        </w:rPr>
      </w:pPr>
      <w:r w:rsidRPr="00C151D5">
        <w:rPr>
          <w:rFonts w:cstheme="minorHAnsi"/>
        </w:rPr>
        <w:t xml:space="preserve">"In December 2020, the accreditation commission met to continue CMO accreditations. Accreditations of OKUASAP (public performances) and A&amp;P (broadcasting) were forwarded to but not finalized by the MEDTA. As of January 1, 2020 CMOs can collect for broadcasting and public performances of musical works, so these CMOs need to be finalized without </w:t>
      </w:r>
      <w:r>
        <w:rPr>
          <w:rFonts w:cstheme="minorHAnsi"/>
        </w:rPr>
        <w:t xml:space="preserve">delay to avoid lost revenues". </w:t>
      </w:r>
    </w:p>
    <w:p w14:paraId="1EA59CBD" w14:textId="04CBED13" w:rsidR="00C151D5" w:rsidRPr="00F649C6" w:rsidRDefault="00C151D5" w:rsidP="003D76C9">
      <w:pPr>
        <w:rPr>
          <w:rFonts w:cstheme="minorHAnsi"/>
        </w:rPr>
      </w:pPr>
      <w:r w:rsidRPr="00C151D5">
        <w:rPr>
          <w:rFonts w:cstheme="minorHAnsi"/>
        </w:rPr>
        <w:t xml:space="preserve">IIPA’s standing regarding accreditation in the spheres of public performance and broadcast of musical works is very surprising as the International Confederation of Societies of Authors and Composers (CISAC) at the end of the last year addressed the Minister of Economy Mr. Igor </w:t>
      </w:r>
      <w:proofErr w:type="spellStart"/>
      <w:r w:rsidRPr="00C151D5">
        <w:rPr>
          <w:rFonts w:cstheme="minorHAnsi"/>
        </w:rPr>
        <w:t>Petrashko</w:t>
      </w:r>
      <w:proofErr w:type="spellEnd"/>
      <w:r w:rsidRPr="00C151D5">
        <w:rPr>
          <w:rFonts w:cstheme="minorHAnsi"/>
        </w:rPr>
        <w:t>, expressing their concern over the results of the competitions of 17.1</w:t>
      </w:r>
      <w:r>
        <w:rPr>
          <w:rFonts w:cstheme="minorHAnsi"/>
        </w:rPr>
        <w:t xml:space="preserve">2.2020 in the foregoing spheres, more details by the following reference </w:t>
      </w:r>
      <w:hyperlink r:id="rId6" w:history="1">
        <w:r w:rsidRPr="00840797">
          <w:rPr>
            <w:rStyle w:val="aa"/>
            <w:rFonts w:cstheme="minorHAnsi"/>
          </w:rPr>
          <w:t>http://uacrr.org.ua/news/zanepokoennya-cisac-shhodo-rezultativ-procesu-akreditacii-organizacii-kolektivnogo-upravlinnya.html</w:t>
        </w:r>
      </w:hyperlink>
      <w:r>
        <w:rPr>
          <w:rFonts w:cstheme="minorHAnsi"/>
        </w:rPr>
        <w:t xml:space="preserve">  </w:t>
      </w:r>
      <w:r w:rsidRPr="00C151D5">
        <w:rPr>
          <w:rFonts w:cstheme="minorHAnsi"/>
        </w:rPr>
        <w:t xml:space="preserve">This letter represents the position of international authors’ community including the American CISAC members ASCAP, BMI, SESAC that jointly manage the rights of about 2 </w:t>
      </w:r>
      <w:r>
        <w:rPr>
          <w:rFonts w:cstheme="minorHAnsi"/>
        </w:rPr>
        <w:t xml:space="preserve">million of American </w:t>
      </w:r>
      <w:proofErr w:type="spellStart"/>
      <w:r>
        <w:rPr>
          <w:rFonts w:cstheme="minorHAnsi"/>
        </w:rPr>
        <w:t>rightholders</w:t>
      </w:r>
      <w:proofErr w:type="spellEnd"/>
      <w:r>
        <w:rPr>
          <w:rFonts w:cstheme="minorHAnsi"/>
        </w:rPr>
        <w:t xml:space="preserve">.  </w:t>
      </w:r>
    </w:p>
    <w:p w14:paraId="4D97F898" w14:textId="77777777" w:rsidR="003D76C9" w:rsidRPr="00F649C6" w:rsidRDefault="003D76C9" w:rsidP="003D76C9">
      <w:pPr>
        <w:rPr>
          <w:rFonts w:cstheme="minorHAnsi"/>
        </w:rPr>
      </w:pPr>
      <w:r w:rsidRPr="00F649C6">
        <w:rPr>
          <w:rFonts w:cstheme="minorHAnsi"/>
        </w:rPr>
        <w:t>We hope that this misunderstanding which apparently was caused by systematic provi</w:t>
      </w:r>
      <w:r>
        <w:rPr>
          <w:rFonts w:cstheme="minorHAnsi"/>
        </w:rPr>
        <w:t>sion</w:t>
      </w:r>
      <w:r w:rsidRPr="00F649C6">
        <w:rPr>
          <w:rFonts w:cstheme="minorHAnsi"/>
        </w:rPr>
        <w:t xml:space="preserve"> of inaccurate information by certain unscrupulous opponents interested in </w:t>
      </w:r>
      <w:r>
        <w:rPr>
          <w:rFonts w:cstheme="minorHAnsi"/>
        </w:rPr>
        <w:t xml:space="preserve">a </w:t>
      </w:r>
      <w:r w:rsidRPr="00F649C6">
        <w:rPr>
          <w:rFonts w:cstheme="minorHAnsi"/>
        </w:rPr>
        <w:t>non-transparent and illegal accreditation will be resolved positively as soon as possible.</w:t>
      </w:r>
    </w:p>
    <w:p w14:paraId="5A28C3FF" w14:textId="77777777" w:rsidR="006B5468" w:rsidRDefault="006B5468" w:rsidP="0034475E">
      <w:pPr>
        <w:rPr>
          <w:lang w:val="uk-UA"/>
        </w:rPr>
      </w:pPr>
    </w:p>
    <w:p w14:paraId="68F3F33D" w14:textId="77777777" w:rsidR="006B5468" w:rsidRDefault="006B5468" w:rsidP="0034475E">
      <w:pPr>
        <w:rPr>
          <w:lang w:val="uk-UA"/>
        </w:rPr>
      </w:pPr>
    </w:p>
    <w:p w14:paraId="71C750AF" w14:textId="77777777" w:rsidR="00991C40" w:rsidRPr="006B5468" w:rsidRDefault="00991C40" w:rsidP="0034475E">
      <w:pPr>
        <w:rPr>
          <w:lang w:val="uk-UA"/>
        </w:rPr>
      </w:pPr>
    </w:p>
    <w:sectPr w:rsidR="00991C40" w:rsidRPr="006B5468" w:rsidSect="00247E57">
      <w:pgSz w:w="12240" w:h="15840"/>
      <w:pgMar w:top="993"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74"/>
    <w:rsid w:val="00047DA3"/>
    <w:rsid w:val="000D57EC"/>
    <w:rsid w:val="001737F8"/>
    <w:rsid w:val="00187284"/>
    <w:rsid w:val="00203AFB"/>
    <w:rsid w:val="002326AD"/>
    <w:rsid w:val="00247E57"/>
    <w:rsid w:val="003339F4"/>
    <w:rsid w:val="0034475E"/>
    <w:rsid w:val="003D76C9"/>
    <w:rsid w:val="004D6283"/>
    <w:rsid w:val="0053347E"/>
    <w:rsid w:val="00533C0C"/>
    <w:rsid w:val="00561B74"/>
    <w:rsid w:val="005861D1"/>
    <w:rsid w:val="005F11A3"/>
    <w:rsid w:val="006B0E23"/>
    <w:rsid w:val="006B5468"/>
    <w:rsid w:val="00853DEB"/>
    <w:rsid w:val="0086244C"/>
    <w:rsid w:val="008C13F7"/>
    <w:rsid w:val="00917A44"/>
    <w:rsid w:val="00991C40"/>
    <w:rsid w:val="00A13916"/>
    <w:rsid w:val="00A8631B"/>
    <w:rsid w:val="00AB39A7"/>
    <w:rsid w:val="00BA72F1"/>
    <w:rsid w:val="00BB65F5"/>
    <w:rsid w:val="00BE2A62"/>
    <w:rsid w:val="00C151D5"/>
    <w:rsid w:val="00C74FFE"/>
    <w:rsid w:val="00EE3B10"/>
    <w:rsid w:val="00FD5F71"/>
    <w:rsid w:val="00FF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C955"/>
  <w15:docId w15:val="{E1381CD8-971E-D047-B497-B873315E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4475E"/>
    <w:rPr>
      <w:sz w:val="16"/>
      <w:szCs w:val="16"/>
    </w:rPr>
  </w:style>
  <w:style w:type="paragraph" w:styleId="a4">
    <w:name w:val="annotation text"/>
    <w:basedOn w:val="a"/>
    <w:link w:val="a5"/>
    <w:uiPriority w:val="99"/>
    <w:semiHidden/>
    <w:unhideWhenUsed/>
    <w:rsid w:val="0034475E"/>
    <w:pPr>
      <w:spacing w:line="240" w:lineRule="auto"/>
    </w:pPr>
    <w:rPr>
      <w:sz w:val="20"/>
      <w:szCs w:val="20"/>
    </w:rPr>
  </w:style>
  <w:style w:type="character" w:customStyle="1" w:styleId="a5">
    <w:name w:val="Текст примечания Знак"/>
    <w:basedOn w:val="a0"/>
    <w:link w:val="a4"/>
    <w:uiPriority w:val="99"/>
    <w:semiHidden/>
    <w:rsid w:val="0034475E"/>
    <w:rPr>
      <w:sz w:val="20"/>
      <w:szCs w:val="20"/>
    </w:rPr>
  </w:style>
  <w:style w:type="paragraph" w:styleId="a6">
    <w:name w:val="annotation subject"/>
    <w:basedOn w:val="a4"/>
    <w:next w:val="a4"/>
    <w:link w:val="a7"/>
    <w:uiPriority w:val="99"/>
    <w:semiHidden/>
    <w:unhideWhenUsed/>
    <w:rsid w:val="0034475E"/>
    <w:rPr>
      <w:b/>
      <w:bCs/>
    </w:rPr>
  </w:style>
  <w:style w:type="character" w:customStyle="1" w:styleId="a7">
    <w:name w:val="Тема примечания Знак"/>
    <w:basedOn w:val="a5"/>
    <w:link w:val="a6"/>
    <w:uiPriority w:val="99"/>
    <w:semiHidden/>
    <w:rsid w:val="0034475E"/>
    <w:rPr>
      <w:b/>
      <w:bCs/>
      <w:sz w:val="20"/>
      <w:szCs w:val="20"/>
    </w:rPr>
  </w:style>
  <w:style w:type="paragraph" w:styleId="a8">
    <w:name w:val="Balloon Text"/>
    <w:basedOn w:val="a"/>
    <w:link w:val="a9"/>
    <w:uiPriority w:val="99"/>
    <w:semiHidden/>
    <w:unhideWhenUsed/>
    <w:rsid w:val="003447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475E"/>
    <w:rPr>
      <w:rFonts w:ascii="Tahoma" w:hAnsi="Tahoma" w:cs="Tahoma"/>
      <w:sz w:val="16"/>
      <w:szCs w:val="16"/>
    </w:rPr>
  </w:style>
  <w:style w:type="character" w:styleId="aa">
    <w:name w:val="Hyperlink"/>
    <w:basedOn w:val="a0"/>
    <w:uiPriority w:val="99"/>
    <w:unhideWhenUsed/>
    <w:rsid w:val="00203AFB"/>
    <w:rPr>
      <w:color w:val="0000FF" w:themeColor="hyperlink"/>
      <w:u w:val="single"/>
    </w:rPr>
  </w:style>
  <w:style w:type="table" w:styleId="ab">
    <w:name w:val="Table Grid"/>
    <w:basedOn w:val="a1"/>
    <w:uiPriority w:val="39"/>
    <w:rsid w:val="00A13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25656">
      <w:bodyDiv w:val="1"/>
      <w:marLeft w:val="0"/>
      <w:marRight w:val="0"/>
      <w:marTop w:val="0"/>
      <w:marBottom w:val="0"/>
      <w:divBdr>
        <w:top w:val="none" w:sz="0" w:space="0" w:color="auto"/>
        <w:left w:val="none" w:sz="0" w:space="0" w:color="auto"/>
        <w:bottom w:val="none" w:sz="0" w:space="0" w:color="auto"/>
        <w:right w:val="none" w:sz="0" w:space="0" w:color="auto"/>
      </w:divBdr>
    </w:div>
    <w:div w:id="338695958">
      <w:bodyDiv w:val="1"/>
      <w:marLeft w:val="0"/>
      <w:marRight w:val="0"/>
      <w:marTop w:val="0"/>
      <w:marBottom w:val="0"/>
      <w:divBdr>
        <w:top w:val="none" w:sz="0" w:space="0" w:color="auto"/>
        <w:left w:val="none" w:sz="0" w:space="0" w:color="auto"/>
        <w:bottom w:val="none" w:sz="0" w:space="0" w:color="auto"/>
        <w:right w:val="none" w:sz="0" w:space="0" w:color="auto"/>
      </w:divBdr>
    </w:div>
    <w:div w:id="1301960956">
      <w:bodyDiv w:val="1"/>
      <w:marLeft w:val="0"/>
      <w:marRight w:val="0"/>
      <w:marTop w:val="0"/>
      <w:marBottom w:val="0"/>
      <w:divBdr>
        <w:top w:val="none" w:sz="0" w:space="0" w:color="auto"/>
        <w:left w:val="none" w:sz="0" w:space="0" w:color="auto"/>
        <w:bottom w:val="none" w:sz="0" w:space="0" w:color="auto"/>
        <w:right w:val="none" w:sz="0" w:space="0" w:color="auto"/>
      </w:divBdr>
    </w:div>
    <w:div w:id="1693415077">
      <w:bodyDiv w:val="1"/>
      <w:marLeft w:val="0"/>
      <w:marRight w:val="0"/>
      <w:marTop w:val="0"/>
      <w:marBottom w:val="0"/>
      <w:divBdr>
        <w:top w:val="none" w:sz="0" w:space="0" w:color="auto"/>
        <w:left w:val="none" w:sz="0" w:space="0" w:color="auto"/>
        <w:bottom w:val="none" w:sz="0" w:space="0" w:color="auto"/>
        <w:right w:val="none" w:sz="0" w:space="0" w:color="auto"/>
      </w:divBdr>
    </w:div>
    <w:div w:id="210476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acrr.org.ua/news/zanepokoennya-cisac-shhodo-rezultativ-procesu-akreditacii-organizacii-kolektivnogo-upravlinnya.html" TargetMode="External"/><Relationship Id="rId5" Type="http://schemas.openxmlformats.org/officeDocument/2006/relationships/hyperlink" Target="http://uacrr.org.ua/assets/storage/149/zvit-pro-diyalnist-organizacii-kolektivnogo-upravlinnya-go-uaasp-za-2019-rik.pdf" TargetMode="External"/><Relationship Id="rId4" Type="http://schemas.openxmlformats.org/officeDocument/2006/relationships/hyperlink" Target="http://uacrr.org.ua/assets/storage/149/zvit-pro-diyalnist-organizacii-kolektivnogo-upravlinnya-go-uaasp-2018-i-auditorskij-zvit-go-uaasp-2018(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931</Words>
  <Characters>5312</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Liudmyla Tsymbal</cp:lastModifiedBy>
  <cp:revision>16</cp:revision>
  <dcterms:created xsi:type="dcterms:W3CDTF">2021-02-01T10:14:00Z</dcterms:created>
  <dcterms:modified xsi:type="dcterms:W3CDTF">2021-02-03T15:56:00Z</dcterms:modified>
</cp:coreProperties>
</file>